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260"/>
        <w:gridCol w:w="2978"/>
        <w:gridCol w:w="2777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UVOD U E-SVIJET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Upoznajmo se, Informatička učionica, Osobno računalo, Mozgalica 1, Digitalni svijet, Klik-klik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98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0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prepoznaje osnovne programe i uređaje za komunikaciju.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uočava situacije u kojima je neophodno da se komunikacija odvija s pomoću digitalnih programa i  uređaja. Prepoznaje obilježja dobrih i loših poruka.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podršku učitelja primjenjuje osnovne vještine razmjenjivanja poruka s pomoću tehnologije.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Primjenjuje pravila ponašanja iz stvarnoga svijeta u virtualnome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svijetu.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komunicira s njemu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poznatim osobama koristeći se digitalnom tehnologijom.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Uspoređuje komunikaciju i ponašanje u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Svakodnevnome životu s komunikacijom i ponašanjem na internetu.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Nudi suradnju i pomoć ostalim učenicima.</w:t>
            </w:r>
          </w:p>
        </w:tc>
      </w:tr>
      <w:tr>
        <w:trPr>
          <w:trHeight w:val="113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prepoznaje problem i slijedeći upute, rješava jednostavni logički zadatak.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otkriva mogućnosti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rješavanja jednostavnoga logičkog zadatka.</w:t>
            </w:r>
          </w:p>
        </w:tc>
        <w:tc>
          <w:tcPr>
            <w:tcW w:w="2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povremenu pomoć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učitelja otkriva mogućnosti rješavanja jednostavnoga logičkog zadatka.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samostalno preispituje putove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dolaska do rješenja jednostavnoga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logičkog zadatka.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Potiče sebe i druge na ustrajnost u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pronalaženju rješenja.</w:t>
            </w:r>
          </w:p>
        </w:tc>
      </w:tr>
      <w:tr>
        <w:trPr>
          <w:trHeight w:val="112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29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27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</w:tr>
      <w:tr>
        <w:trPr>
          <w:trHeight w:val="113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D.1.1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Prepoznaje svoje osobne podatke.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Pravilno uključuje i isključuje računalo i/ili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mobilne uređaje.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Objašnjava da svoje osobne podatke ne smije dijeliti s nepoznatim osobama te objašnjava važnost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čuvanja školske i osobne računalne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opreme.</w:t>
            </w:r>
          </w:p>
        </w:tc>
        <w:tc>
          <w:tcPr>
            <w:tcW w:w="2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Svoje osobne podatke svjesno štiti.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Odgovorno se koristi dostupnom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Daje savjete vršnjacima kako svjesno štititi svoje osobne podatke.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Isključuje uređaje kad se njima ne koristi, obraća pozornost na uštedu energije.</w:t>
            </w:r>
          </w:p>
        </w:tc>
      </w:tr>
      <w:tr>
        <w:trPr>
          <w:trHeight w:val="112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29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27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2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2"/>
                <w:szCs w:val="20"/>
              </w:rPr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2"/>
                <w:szCs w:val="20"/>
              </w:rPr>
            </w:pPr>
            <w:r>
              <w:rPr>
                <w:rFonts w:eastAsia="Nunito" w:cs="Calibri" w:cstheme="majorHAnsi"/>
                <w:b/>
                <w:sz w:val="2"/>
                <w:szCs w:val="20"/>
              </w:rPr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2"/>
                <w:szCs w:val="20"/>
              </w:rPr>
            </w:pPr>
            <w:r>
              <w:rPr>
                <w:rFonts w:eastAsia="Nunito" w:cs="Calibri" w:cstheme="majorHAnsi"/>
                <w:b/>
                <w:sz w:val="2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2"/>
                <w:szCs w:val="20"/>
              </w:rPr>
            </w:pPr>
            <w:r>
              <w:rPr>
                <w:rFonts w:eastAsia="Nunito" w:cs="Calibri" w:cstheme="majorHAnsi"/>
                <w:b/>
                <w:sz w:val="2"/>
                <w:szCs w:val="20"/>
              </w:rPr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2"/>
                <w:szCs w:val="20"/>
              </w:rPr>
            </w:pPr>
            <w:r>
              <w:rPr>
                <w:rFonts w:eastAsia="Nunito" w:cs="Calibri" w:cstheme="majorHAnsi"/>
                <w:b/>
                <w:sz w:val="2"/>
                <w:szCs w:val="20"/>
              </w:rPr>
            </w:r>
          </w:p>
        </w:tc>
      </w:tr>
      <w:tr>
        <w:trPr>
          <w:trHeight w:val="25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prepoznaje računalo.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imenuje vanjske jedinice računala.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Prepoznaje digitalne uređaje na ilustracijama.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pravilno isključuje računalo.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rješava jednostavne logičke zadatke.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imenuje vanjske jedinice računala.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nabraja neke digitalne uređaje.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Pravilno isključuje računalo.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Samostalno, uz manje greške i upute učitelja, rješava jednostavne logičke zadatke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Nabraja digitalne uređaje i svojim riječima opisuje njihovu namjenu.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rješava jednostavne logičke zadatke.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imenuje vanjske jedinice računala i svojim riječima objašnjava njihovu namjenu.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Pravilno isključuje računalo i objašnjava važnost isključivanja računala kad se ne koristi.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rješava jednostavne logičke zadatke i objašnjava način njihova rješavanja.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</w:p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260"/>
        <w:gridCol w:w="2978"/>
        <w:gridCol w:w="2777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PRVI KORACI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Mozgalica 2, Mozgalica 2a, Mozgalica 2b, Mozgalica 2c, Moje radno mjesto, Miš, Tipkovnica, Internet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98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0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prepoznaje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problem i slijedeći upute, rješava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jednostavni logički zadatak.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otkriva mogućnosti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rješavanja jednostavnoga logičkog zadatka.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povremenu pomoć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učitelja otkriva mogućnosti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rješavanja jednostavnoga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samostalno preispituje putove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dolaska do rješenja jednostavnoga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logičkog zadatka.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Potiče sebe i druge na ustrajnost u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pronalaženju rješenja.</w:t>
            </w:r>
          </w:p>
        </w:tc>
      </w:tr>
      <w:tr>
        <w:trPr>
          <w:trHeight w:val="113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prepoznaje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jednostavni zadatak i opisuje kako bi ga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riješio.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povremenu pomoć učitelja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otkriva korake rješavanja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jednostavnoga zadatka i prikazuje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rješenje.</w:t>
            </w:r>
          </w:p>
        </w:tc>
        <w:tc>
          <w:tcPr>
            <w:tcW w:w="2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prikazuje i prati slijed odvijanja koraka potrebnih za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rješavanje nekoga jednostavnog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zadatka.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analizira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Rješenje jednostavnoga zadatka i vrednuje ga.</w:t>
            </w:r>
          </w:p>
        </w:tc>
      </w:tr>
      <w:tr>
        <w:trPr>
          <w:trHeight w:val="112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29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27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</w:tr>
      <w:tr>
        <w:trPr>
          <w:trHeight w:val="113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D.1.2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prepoznaje zdrave navike ponašanja tijekom rada na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računalu. Prisjeća se koliko vremena provodi za računalom.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primjenjuje zdrave navike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ponašanja tijekom rada na računalu.</w:t>
            </w:r>
          </w:p>
        </w:tc>
        <w:tc>
          <w:tcPr>
            <w:tcW w:w="2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Nakon dogovorenoga vremena prekida rad na računalu ili mobilnome uređaju. Pravilno sjedi pri korištenju računalom i razgibava se u određenome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vremenu.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Analizira koliko vremena provodi za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računalom i prihvaća preporuke o količini vremena provedenoga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za računalom.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Daje savjete ostalim učenicima.</w:t>
            </w:r>
          </w:p>
        </w:tc>
      </w:tr>
      <w:tr>
        <w:trPr>
          <w:trHeight w:val="112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29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27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2"/>
                <w:szCs w:val="2"/>
              </w:rPr>
            </w:pPr>
            <w:r>
              <w:rPr>
                <w:rFonts w:eastAsia="Nunito" w:cs="Calibri" w:cstheme="majorHAnsi"/>
                <w:b/>
                <w:color w:val="FFFFFF"/>
                <w:sz w:val="2"/>
                <w:szCs w:val="2"/>
              </w:rPr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2"/>
                <w:szCs w:val="2"/>
              </w:rPr>
            </w:pPr>
            <w:r>
              <w:rPr>
                <w:rFonts w:eastAsia="Nunito" w:cs="Calibri" w:cstheme="majorHAnsi"/>
                <w:b/>
                <w:sz w:val="2"/>
                <w:szCs w:val="2"/>
              </w:rPr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2"/>
                <w:szCs w:val="2"/>
              </w:rPr>
            </w:pPr>
            <w:r>
              <w:rPr>
                <w:rFonts w:eastAsia="Nunito" w:cs="Calibri" w:cstheme="majorHAnsi"/>
                <w:b/>
                <w:sz w:val="2"/>
                <w:szCs w:val="2"/>
              </w:rPr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2"/>
                <w:szCs w:val="2"/>
              </w:rPr>
            </w:pPr>
            <w:r>
              <w:rPr>
                <w:rFonts w:eastAsia="Nunito" w:cs="Calibri" w:cstheme="majorHAnsi"/>
                <w:b/>
                <w:sz w:val="2"/>
                <w:szCs w:val="2"/>
              </w:rPr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2"/>
                <w:szCs w:val="2"/>
              </w:rPr>
            </w:pPr>
            <w:r>
              <w:rPr>
                <w:rFonts w:eastAsia="Nunito" w:cs="Calibri" w:cstheme="majorHAnsi"/>
                <w:b/>
                <w:sz w:val="2"/>
                <w:szCs w:val="2"/>
              </w:rPr>
            </w:r>
          </w:p>
        </w:tc>
      </w:tr>
      <w:tr>
        <w:trPr>
          <w:trHeight w:val="25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opisuje način rješavanja jednostavnog logičkog zadatka (npr. kretanje kroz labirint, otkrivanje i nastavljanje niza).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 ilustracijama prepoznaje pravilno korištenje računala (pravilno sjedenje, pravilno držanje miša i korištenje tipkovnice).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Imenuje i objašnjava čemu služe miš i tipkovnica.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povremenu pomoć učitelja učenik rješava jednostavni logički zadatak.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pravilno sjedi za računalom. Prati upute učitelja i razgibava se u zadanom vremenu.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samostalno, uz manje greške, rješava jednostavni logički zadatak.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pravilno sjedi za računalom. Opisuje kako nepravilno korištenje računala može utjecati na zdravlje.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samostalno rješava jednostavni logički zadatak.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Koristi zdrave navike pri korištenju računalom. Upozorava ostale učenike na nepravilno sjedenje i/ili korištenje tipkovnice i miša.</w:t>
            </w:r>
          </w:p>
        </w:tc>
      </w:tr>
    </w:tbl>
    <w:p>
      <w:pPr>
        <w:pStyle w:val="Normal"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</w:p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260"/>
        <w:gridCol w:w="2978"/>
        <w:gridCol w:w="2777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KOMUNICIRAM NA MREŽI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Mozgalica 3, Mozgalica 3a, Mozgalica 3b, Razgovaram, Pišem poruku, E-bonton, Pravila ponašanja, Sigurno-nesigurno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98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0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prepoznaje osnovne programe 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uređaje za komunikaciju.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uočava situacije u kojima je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neophodno da se komunikacija odvija s pomoću digitalnih programa i uređaja.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Prepoznaje obilježja dobrih i loših poruka.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podršku učitelja primjenjuje osnovne vještine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razmjenjivanja poruka s pomoću tehnologije. Primjenjuje pravila ponašanja iz stvarnoga svijeta u virtualnome svijetu.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komunicira s njemu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poznatim osobama koristeći se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digitalnom tehnologijom.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Uspoređuje komunikaciju i ponašanje u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svakodnevnome životu s komunikacijom i ponašanjem na internetu. Nudi suradnju i pomoć ostalim učenicima.</w:t>
            </w:r>
          </w:p>
        </w:tc>
      </w:tr>
      <w:tr>
        <w:trPr>
          <w:trHeight w:val="113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prepoznaje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problem i slijedeći upute, rješava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jednostavni logički zadatak.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otkriva mogućnosti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Rješavanja jednostavnoga logičkog zadatka.</w:t>
            </w:r>
          </w:p>
        </w:tc>
        <w:tc>
          <w:tcPr>
            <w:tcW w:w="2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povremenu pomoć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učitelja otkriva mogućnosti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rješavanja jednostavnoga logičkog zadatka.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samostalno preispituje putove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dolaska do rješenja jednostavnoga logičkog zadatka. Potiče sebe i druge na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ustrajnost u pronalaženju rješenja.</w:t>
            </w:r>
          </w:p>
        </w:tc>
      </w:tr>
      <w:tr>
        <w:trPr>
          <w:trHeight w:val="112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29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27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</w:tr>
      <w:tr>
        <w:trPr>
          <w:trHeight w:val="113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podršku učitelja upoznaje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jednostavne programe i digitalne obrazovne sadržaje.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Izvodi osnovne radnje u programima ili digitalnim obrazovnim sadržajima.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podršku učitelja opisuje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pojedine aktivnosti u programima 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digitalnim obrazovnim sadržajima.</w:t>
            </w:r>
          </w:p>
        </w:tc>
        <w:tc>
          <w:tcPr>
            <w:tcW w:w="2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se uz podršku učitelja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koristi predloženim digitalnim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obrazovnim sadržajima kao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podršku učitelja objašnjava rad u predloženim programima te otkriva dodatne mogućnosti. Nudi suradnju i pomoć ostalim učenicima.</w:t>
            </w:r>
          </w:p>
        </w:tc>
      </w:tr>
      <w:tr>
        <w:trPr>
          <w:trHeight w:val="112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29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27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2"/>
                <w:szCs w:val="2"/>
              </w:rPr>
            </w:pPr>
            <w:r>
              <w:rPr>
                <w:rFonts w:eastAsia="Nunito" w:cs="Calibri" w:cstheme="majorHAnsi"/>
                <w:b/>
                <w:color w:val="FFFFFF"/>
                <w:sz w:val="2"/>
                <w:szCs w:val="2"/>
              </w:rPr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2"/>
                <w:szCs w:val="2"/>
              </w:rPr>
            </w:pPr>
            <w:r>
              <w:rPr>
                <w:rFonts w:eastAsia="Nunito" w:cs="Calibri" w:cstheme="majorHAnsi"/>
                <w:b/>
                <w:sz w:val="2"/>
                <w:szCs w:val="2"/>
              </w:rPr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2"/>
                <w:szCs w:val="2"/>
              </w:rPr>
            </w:pPr>
            <w:r>
              <w:rPr>
                <w:rFonts w:eastAsia="Nunito" w:cs="Calibri" w:cstheme="majorHAnsi"/>
                <w:b/>
                <w:sz w:val="2"/>
                <w:szCs w:val="2"/>
              </w:rPr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2"/>
                <w:szCs w:val="2"/>
              </w:rPr>
            </w:pPr>
            <w:r>
              <w:rPr>
                <w:rFonts w:eastAsia="Nunito" w:cs="Calibri" w:cstheme="majorHAnsi"/>
                <w:b/>
                <w:sz w:val="2"/>
                <w:szCs w:val="2"/>
              </w:rPr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2"/>
                <w:szCs w:val="2"/>
              </w:rPr>
            </w:pPr>
            <w:r>
              <w:rPr>
                <w:rFonts w:eastAsia="Nunito" w:cs="Calibri" w:cstheme="majorHAnsi"/>
                <w:b/>
                <w:sz w:val="2"/>
                <w:szCs w:val="2"/>
              </w:rPr>
            </w:r>
          </w:p>
        </w:tc>
      </w:tr>
      <w:tr>
        <w:trPr>
          <w:trHeight w:val="25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na ilustracijama prepoznaje osnovne uređaje za komunikaciju.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imenuje neke programe za komunikaciju.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ostvaruje komunikaciju porukama s poznatom osobom putem nekog digitalnog uređaja.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Navodi primjere situacija u kojima je važno koristiti digitalne uređaje za komunikaciju.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 primjeru ilustracije poruke prepoznaje je li poruka dobra ili loša.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Izriče pravila ponašanja u komunikaciji putem interneta.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podršku učitelja samostalno koristi neki od digitalnih uređaja kako bi komunicirao porukama s poznatom osobom.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 komunikaciji koristi četiri čarobne riječi.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objašnjava koje su sigurne, a koje nesigurne situacije u komunikaciji putem interneta.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koristi neki od digitalnih uređaja kako bi komunicirao porukama s poznatom osobom. Pri tome pazi na pravila ponašanja.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Svojim riječima objašnjava zašto je važno biti pristojan u komunikaciji.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Svojim riječima objašnjava koje su sigurne, a koje nesigurne situacije u komunikaciji putem interneta.</w:t>
            </w:r>
          </w:p>
        </w:tc>
      </w:tr>
    </w:tbl>
    <w:p>
      <w:pPr>
        <w:pStyle w:val="Normal"/>
        <w:rPr>
          <w:rFonts w:ascii="Calibri" w:hAnsi="Calibri" w:eastAsia="Nunito" w:cs="Calibri" w:asciiTheme="majorHAnsi" w:cstheme="majorHAnsi" w:hAnsiTheme="majorHAnsi"/>
        </w:rPr>
      </w:pPr>
      <w:r>
        <w:rPr>
          <w:rFonts w:eastAsia="Nunito" w:cs="Calibri" w:cstheme="majorHAnsi"/>
        </w:rPr>
      </w:r>
    </w:p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260"/>
        <w:gridCol w:w="2978"/>
        <w:gridCol w:w="2777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DIGITALNI PISAC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Pišemo digitalno, Uređujemo tekst, Spremanje dokumenta, Otvaranje dokumenta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98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0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podršku učitelja upoznaje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jednostavne programe i digitalne obrazovne sadržaje.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Izvodi osnovne radnje u programima ili digitalnim obrazovnim sadržajima.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podršku učitelja opisuje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pojedine aktivnosti u programima 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digitalnim obrazovnim sadržajima.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se uz podršku učitelja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koristi predloženim digitalnim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obrazovnim sadržajima kao pomoći pri učenju.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podršku učitelja objašnjava rad u predloženim programima te otkriva dodatne mogućnosti. Nudi suradnju i pomoć ostalim učenicima.</w:t>
            </w:r>
          </w:p>
        </w:tc>
      </w:tr>
      <w:tr>
        <w:trPr>
          <w:trHeight w:val="113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C.1.2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prepoznaje uređaje za stvaranje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digitalnih sadržaja. Uz pomoć učitelja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izrađuje jednostavni digitalni sadržaj.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opisuje ulogu i primjenu uređaja kojima se koristio za  stvaranje digitalnih sadržaja.</w:t>
            </w:r>
          </w:p>
        </w:tc>
        <w:tc>
          <w:tcPr>
            <w:tcW w:w="2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povremene savjete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učitelja izrađuje jednostavne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povremene savjete učitelja izrađuje jednostavne digitalne sadržaje 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predstavlja svoj rad.</w:t>
            </w:r>
          </w:p>
        </w:tc>
      </w:tr>
      <w:tr>
        <w:trPr>
          <w:trHeight w:val="112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29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27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>
          <w:trHeight w:val="25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prepoznaje program za pisanje i uređivanje teksta i uz pomoć učitelja ga otvara.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koristi tipkovnicu i piše jednostavni tekst.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sprema digitalni rad.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samostalno otvara program za pisanje i uređivanje teksta.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Opisuje osnovne radnje u programu za pisanje i uređivanje teksta.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koristi tipkovnicu te uz manju pomoć učitelja piše jednostavni tekst.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podršku učitelja sprema svoj rad.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piše jednostavni tekst.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Koristi neka oblikovanja teksta (zadebljano, ukošeno ili podcrtano pisanje).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samostalno piše jednostavni tekst prema uputama učitelja.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Koristi oblikovanje tekst.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 xml:space="preserve">Koristi </w:t>
            </w:r>
            <w:bookmarkStart w:id="0" w:name="_GoBack"/>
            <w:bookmarkEnd w:id="0"/>
            <w:r>
              <w:rPr>
                <w:rFonts w:eastAsia="Nunito" w:cs="Calibri" w:cstheme="majorHAnsi"/>
                <w:sz w:val="18"/>
                <w:szCs w:val="20"/>
              </w:rPr>
              <w:t>poravnanje odlomka.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sprema svoj rad.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Pronalazi i otvara postojeći rad, po potrebi ga mijenja i dorađuje i ponovo sprema.</w:t>
            </w:r>
          </w:p>
        </w:tc>
      </w:tr>
    </w:tbl>
    <w:p>
      <w:pPr>
        <w:pStyle w:val="Normal"/>
        <w:rPr>
          <w:rFonts w:ascii="Calibri" w:hAnsi="Calibri" w:eastAsia="Nunito" w:cs="Calibri" w:asciiTheme="majorHAnsi" w:cstheme="majorHAnsi" w:hAnsiTheme="majorHAnsi"/>
        </w:rPr>
      </w:pPr>
      <w:r>
        <w:rPr>
          <w:rFonts w:eastAsia="Nunito" w:cs="Calibri" w:cstheme="majorHAnsi"/>
        </w:rPr>
      </w:r>
    </w:p>
    <w:p>
      <w:pPr>
        <w:pStyle w:val="Normal"/>
        <w:rPr>
          <w:rFonts w:ascii="Calibri" w:hAnsi="Calibri" w:eastAsia="Nunito" w:cs="Calibri" w:asciiTheme="majorHAnsi" w:cstheme="majorHAnsi" w:hAnsiTheme="majorHAnsi"/>
        </w:rPr>
      </w:pPr>
      <w:r>
        <w:rPr>
          <w:rFonts w:eastAsia="Nunito" w:cs="Calibri" w:cstheme="majorHAnsi"/>
        </w:rPr>
      </w:r>
      <w:r>
        <w:br w:type="page"/>
      </w:r>
    </w:p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260"/>
        <w:gridCol w:w="2978"/>
        <w:gridCol w:w="2777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RAČUNALA NAM POMAŽU U RADU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E-svijet, Mozgalica 4, Mozgalica 5, Mozgalica 4-5a, Korak po korak do rješenja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98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0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prepoznaje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problem i slijedeći upute, rješava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jednostavni logički zadatak.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otkriva mogućnosti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Rješavanja jednostavnoga logičkog zadatka.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povremenu pomoć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učitelja otkriva mogućnosti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rješavanja jednostavnoga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samostalno preispituje putove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dolaska do rješenja jednostavnoga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logičkog zadatka. Potiče sebe i druge na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ustrajnost u pronalaženju rješenja.</w:t>
            </w:r>
          </w:p>
        </w:tc>
      </w:tr>
      <w:tr>
        <w:trPr>
          <w:trHeight w:val="113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prepoznaje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jednostavni zadatak i opisuje kako bi ga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riješio.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povremenu pomoć učitelja otkriva korake rješavanja jednostavnoga zadatka i prikazuje rješenje.</w:t>
            </w:r>
          </w:p>
        </w:tc>
        <w:tc>
          <w:tcPr>
            <w:tcW w:w="2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prikazuje i prati slijed odvijanja koraka potrebnih za rješavanje nekoga jednostavnog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zadatka.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analizira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Rješenje jednostavnoga zadatka i vrednuje ga.</w:t>
            </w:r>
          </w:p>
        </w:tc>
      </w:tr>
      <w:tr>
        <w:trPr>
          <w:trHeight w:val="112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29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27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>
          <w:trHeight w:val="25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nabraja neke kućanske uređaje koji  u sebi sadrže računalo.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opisuje zadatak kako bi mogao slijediti upute u rješenju jednostavnog logičkog zadatka (npr. kretanju kroz labirint).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nabraja neke kućanske uređaje koji  u sebi sadrže računalo.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otkriva različite puteve za rješenje jednostavnog problema, odabire jedan od njih i rješava problem.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nabraja neke kućanske uređaje koji  u sebi sadrže računalo, uz pomoć učitelja opisuje ulogu računala u pojedinom uređaju.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samostalno rješava jednostavni logički problem koji se sastoji od slijeda koraka.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Imenuje kućanske uređaje koji u sebi sadrže računalo i svojim riječima samostalno opisuje ulogu računala u tim uređajima.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samostalno rješava jednostavni logički problem i samostalno opisuje kako je došao do rješenja.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Izriče jednostavne upute za kretanje zadanom stazom (lijevo-desno-gore-dolje).</w:t>
            </w:r>
          </w:p>
        </w:tc>
      </w:tr>
    </w:tbl>
    <w:p>
      <w:pPr>
        <w:pStyle w:val="Normal"/>
        <w:rPr>
          <w:rFonts w:ascii="Calibri" w:hAnsi="Calibri" w:eastAsia="Nunito" w:cs="Calibri" w:asciiTheme="majorHAnsi" w:cstheme="majorHAnsi" w:hAnsiTheme="majorHAnsi"/>
        </w:rPr>
      </w:pPr>
      <w:r>
        <w:rPr>
          <w:rFonts w:eastAsia="Nunito" w:cs="Calibri" w:cstheme="majorHAnsi"/>
        </w:rPr>
      </w:r>
    </w:p>
    <w:p>
      <w:pPr>
        <w:pStyle w:val="Normal"/>
        <w:rPr>
          <w:rFonts w:ascii="Calibri" w:hAnsi="Calibri" w:eastAsia="Nunito" w:cs="Calibri" w:asciiTheme="majorHAnsi" w:cstheme="majorHAnsi" w:hAnsiTheme="majorHAnsi"/>
        </w:rPr>
      </w:pPr>
      <w:r>
        <w:rPr>
          <w:rFonts w:eastAsia="Nunito" w:cs="Calibri" w:cstheme="majorHAnsi"/>
        </w:rPr>
      </w:r>
      <w:r>
        <w:br w:type="page"/>
      </w:r>
    </w:p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260"/>
        <w:gridCol w:w="2978"/>
        <w:gridCol w:w="2777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E-UČENIK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Moja prva poruka, Moji podatci, Štitim svoje podatke, Čuvam svoje podatke, E-učenik, Računalo i zdravlje, Razgovaram s drugima,  Ja@skole.hr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98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0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prepoznaje osnovne programe 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uređaje za komunikaciju.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uočava situacije u kojima je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neophodno da se komunikacija odvija s pomoću digitalnih programa i uređaja. Prepoznaje obilježja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podršku učitelja primjenjuje osnovne vještine razmjenjivanja poruka s pomoću tehnologije. Primjenjuje pravila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ponašanja iz stvarnoga svijeta u virtualnome svijetu.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komunicira s njemu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poznatim osobama koristeći se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digitalnom tehnologijom.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Uspoređuje komunikaciju i ponašanje u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svakodnevnome životu s komunikacijom i ponašanjem na internetu. Nudi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suradnju i pomoć ostalim učenicima.</w:t>
            </w:r>
          </w:p>
        </w:tc>
      </w:tr>
      <w:tr>
        <w:trPr>
          <w:trHeight w:val="113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podršku učitelja upoznaje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jednostavne programe i digitalne obrazovne sadržaje.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Izvodi osnovne radnje u programima ili digitalnim obrazovnim sadržajima.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podršku učitelja opisuje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pojedine aktivnosti u programima 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digitalnim obrazovnim sadržajima.</w:t>
            </w:r>
          </w:p>
        </w:tc>
        <w:tc>
          <w:tcPr>
            <w:tcW w:w="2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se uz podršku učitelja koristi predloženim digitalnim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Obrazovnim sadržajima kao pomoći pri učenju.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podršku učitelja objašnjava rad u predloženim programima te  otkriva dodatne mogućnosti. Nudi suradnju i pomoć ostalim učenicima.</w:t>
            </w:r>
          </w:p>
        </w:tc>
      </w:tr>
      <w:tr>
        <w:trPr>
          <w:trHeight w:val="112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29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27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</w:tr>
      <w:tr>
        <w:trPr>
          <w:trHeight w:val="113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D.1.1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Prepoznaje svoje osobne podatke. Pravilno uključuje i isključuje računalo i/ili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mobilne uređaje.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Objašnjava da svoje osobne podatke ne smije dijeliti s nepoznatim osobama te objašnjava važnost čuvanja školske i osobne računalne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opreme.</w:t>
            </w:r>
          </w:p>
        </w:tc>
        <w:tc>
          <w:tcPr>
            <w:tcW w:w="2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Svoje osobne podatke svjesno štiti.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Odgovorno se koristi dostupnom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Daje savjete vršnjacima kako svjesno štititi svoje osobne podatke.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Isključuje uređaje kad se njima ne koristi, obraća pozornost na uštedu energije.</w:t>
            </w:r>
          </w:p>
        </w:tc>
      </w:tr>
      <w:tr>
        <w:trPr>
          <w:trHeight w:val="112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29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27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</w:tr>
      <w:tr>
        <w:trPr>
          <w:trHeight w:val="113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D.1.2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prepoznaje zdrave navike ponašanja tijekom rada na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računalu. Prisjeća se koliko vremena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primjenjuje zdrave navike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ponašanja tijekom rada na računalu.</w:t>
            </w:r>
          </w:p>
        </w:tc>
        <w:tc>
          <w:tcPr>
            <w:tcW w:w="2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Nakon dogovorenoga vremena prekida rad na računalu ili mobilnome uređaju. Pravilno sjedi pri korištenju računalom i razgibava se u određenome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vremenu.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Analizira koliko vremena provodi za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računalom i prihvaća preporuke o količini vremena provedenoga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za računalom. Daje savjete ostalim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učenicima.</w:t>
              <w:br/>
            </w:r>
          </w:p>
        </w:tc>
      </w:tr>
      <w:tr>
        <w:trPr>
          <w:trHeight w:val="112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29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27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>
          <w:trHeight w:val="25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bilježi svoju e-adresu iz sustava AAI@EduHr na papir.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prepoznaje svoje osobne podatke.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 xml:space="preserve">Uz pomoć učitelja prijavljuje se na mrežno mjesto </w:t>
            </w:r>
            <w:hyperlink r:id="rId2">
              <w:r>
                <w:rPr>
                  <w:rStyle w:val="Internetskapoveznica"/>
                  <w:rFonts w:eastAsia="Nunito" w:cs="Calibr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eastAsia="Nunito" w:cs="Calibri" w:cstheme="majorHAnsi"/>
                <w:sz w:val="18"/>
                <w:szCs w:val="20"/>
              </w:rPr>
              <w:t xml:space="preserve"> i pregledava svoje ocjene.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nabraja aktivnosti koje pomažu očuvanju zdravlja prilikom rada na računalu.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nabraja nekoliko usluga kojima se koristi pomoću AAI@EduHr identiteta.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otvara program ili mrežno mjesto za komuniciranje putem e-pošte. Uz pomoć učitelja se prijavljuje svojim korisničkim imenom i lozinkom.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šalje kratku poruku e-pošte poznatoj osobi (učeniku iz razreda).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se odjavljuje.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Nabraja svoje osobne podatke i svojim riječima (može i na primjeru) objašnjava zašto ih ne smije dijeliti s nepoznatim osobama.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Pravilno sjedi za računalom.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nabraja nekoliko usluga kojima se koristi pomoću AAI@EduHr identiteta.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Samostalno, bez greške, bilježi svoju e-adresu iz sustava AAI@EduHr na papir.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otvara program ili mrežno mjesto za komuniciranje putem e-pošte. Samostalno, ili uz manju pomoć učitelja, se prijavljuje korisničkim imenom i lozinkom.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se odjavljuje.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Nabraja osobne podatke i navodi one koje smije te one koje ne smije dijeliti s nepoznatima.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 xml:space="preserve">Samostalno se prijavljuje na mrežno mjesto </w:t>
            </w:r>
            <w:hyperlink r:id="rId3">
              <w:r>
                <w:rPr>
                  <w:rStyle w:val="Internetskapoveznica"/>
                  <w:rFonts w:eastAsia="Nunito" w:cs="Calibr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eastAsia="Nunito" w:cs="Calibri" w:cstheme="majorHAnsi"/>
                <w:sz w:val="18"/>
                <w:szCs w:val="20"/>
              </w:rPr>
              <w:t xml:space="preserve"> i pregledava svoje ocjene.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Pravilno sjedi za računalom i razgibava se prema uputama učitelja.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se prijavljuje u različite usluge koje koriste AAI@EduHr identitet za prijavu.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otvara program ili mrežno mjesto za komuniciranje putem e-pošte.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se prijavljuje  svojim korisničkim imenom i lozinkom.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šalje kratku poruku e-pošte poznatoj osobi.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Opisuje svojim riječima razlike i sličnosti između komunikacije e-poštom i komunikacije uživo.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se odjavljuje.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Savjetuje razredne prijatelje o čuvanju osobnih podataka.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Pravilno sjedi za računalom, razgibava se prema uputama učitelja i upućuje druge učenike da usvoje zdrave navike ponašanja tijekom korištenja računala.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se prijavljuje u različite usluge koje koriste AAI@EduHr identitet za prijavu.</w:t>
            </w:r>
          </w:p>
        </w:tc>
      </w:tr>
    </w:tbl>
    <w:p>
      <w:pPr>
        <w:pStyle w:val="Normal"/>
        <w:rPr>
          <w:rFonts w:ascii="Calibri" w:hAnsi="Calibri" w:eastAsia="Nunito" w:cs="Calibri" w:asciiTheme="majorHAnsi" w:cstheme="majorHAnsi" w:hAnsiTheme="majorHAnsi"/>
        </w:rPr>
      </w:pPr>
      <w:r>
        <w:rPr>
          <w:rFonts w:eastAsia="Nunito" w:cs="Calibri" w:cstheme="majorHAnsi"/>
        </w:rPr>
      </w:r>
    </w:p>
    <w:p>
      <w:pPr>
        <w:pStyle w:val="Normal"/>
        <w:rPr>
          <w:rFonts w:ascii="Calibri" w:hAnsi="Calibri" w:eastAsia="Nunito" w:cs="Calibri" w:asciiTheme="majorHAnsi" w:cstheme="majorHAnsi" w:hAnsiTheme="majorHAnsi"/>
        </w:rPr>
      </w:pPr>
      <w:r>
        <w:rPr>
          <w:rFonts w:eastAsia="Nunito" w:cs="Calibri" w:cstheme="majorHAnsi"/>
        </w:rPr>
      </w:r>
    </w:p>
    <w:p>
      <w:pPr>
        <w:pStyle w:val="Normal"/>
        <w:rPr>
          <w:rFonts w:ascii="Calibri" w:hAnsi="Calibri" w:eastAsia="Nunito" w:cs="Calibri" w:asciiTheme="majorHAnsi" w:cstheme="majorHAnsi" w:hAnsiTheme="majorHAnsi"/>
        </w:rPr>
      </w:pPr>
      <w:r>
        <w:rPr>
          <w:rFonts w:eastAsia="Nunito" w:cs="Calibri" w:cstheme="majorHAnsi"/>
        </w:rPr>
      </w:r>
    </w:p>
    <w:p>
      <w:pPr>
        <w:pStyle w:val="Normal"/>
        <w:rPr>
          <w:rFonts w:ascii="Calibri" w:hAnsi="Calibri" w:eastAsia="Nunito" w:cs="Calibri" w:asciiTheme="majorHAnsi" w:cstheme="majorHAnsi" w:hAnsiTheme="majorHAnsi"/>
        </w:rPr>
      </w:pPr>
      <w:r>
        <w:rPr>
          <w:rFonts w:eastAsia="Nunito" w:cs="Calibri" w:cstheme="majorHAnsi"/>
        </w:rPr>
      </w:r>
      <w:r>
        <w:br w:type="page"/>
      </w:r>
    </w:p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119"/>
        <w:gridCol w:w="2976"/>
        <w:gridCol w:w="2920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MOJ PRVI PROGRAM U SCRATCHU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Mozgalica 6, Mozgalica 6a, Mozgalica 6b, Mozgalica 6c, Mozgalica 6d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98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0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prepoznaje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jednostavni zadatak i opisuje kako bi ga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riješio.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povremenu pomoć učitelja otkriva korake rješavanja jednostavnoga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zadatka i prikazuje rješenje.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prikazuje i prati slijed odvijanja koraka potrebnih za rješavanje nekoga jednostavnog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zadatka.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analizira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rješenje jednostavnoga zadatka i vrednuje ga.</w:t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>
          <w:trHeight w:val="25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rješava jednostavni logički zadatak koji se rješava pomoću ispravnog slijeda naredbi (bez računala).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pokreće program Scratch.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opisuje zadatak i koristi jednostavnu naredbu „reci“ u Scratchu.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koristi naredbu za kretanje lika u Scratchu.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manju pomoć učitelja rješava jednostavni logički zadatak koji za rješenje zahtijeva ispravan slijed naredbi (bez računala).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manju pomoć učitelja istražuje kako riješiti jednostavni zadatak u Scratchu i izrađuje program s jednim likom i naredbom „reci“.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manju pomoć učitelja izrađuje jednostavni program u Scratchu koji omogućuje kretanje lika.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rješava jednostavni logički zadatak koji za rješenje zahtijeva ispravan slijed naredbi (bez računala).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samostalno pokreće program Scratch.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izrađuje jednostavni program u kojem jedan lik koristi više naredbi „reci“.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izrađuje jednostavni program u Scratchu koji omogućuje kretanje lika.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rješava jednostavni logički zadatak koji za rješenje zahtijeva ispravan slijed naredbi (bez računala), traži više mogućih rješenja zadanog zadatka (ako postoje).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izrađuje jednostavni program u Scratchu u kojem više likova koristi više naredbi „reci“ (razgovor likova).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izrađuje jednostavni program u Scratchu koji omogućuje kretanje i govor lika.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</w:p>
    <w:p>
      <w:pPr>
        <w:pStyle w:val="Normal"/>
        <w:rPr>
          <w:rFonts w:ascii="Calibri" w:hAnsi="Calibri" w:eastAsia="Nunito" w:cs="Calibri" w:asciiTheme="majorHAnsi" w:cstheme="majorHAnsi" w:hAnsiTheme="majorHAnsi"/>
        </w:rPr>
      </w:pPr>
      <w:r>
        <w:rPr>
          <w:rFonts w:eastAsia="Nunito" w:cs="Calibri" w:cstheme="majorHAnsi"/>
        </w:rPr>
      </w:r>
      <w:r>
        <w:br w:type="page"/>
      </w:r>
    </w:p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260"/>
        <w:gridCol w:w="2978"/>
        <w:gridCol w:w="2777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DIGITALNI SLIKAR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Crtam i stvaram, Mozgalica 7, Igram se i bojim, Fotografiram, Videosastanak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98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0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prepoznaje osnovne programe 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uređaje za komunikaciju.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uočava situacije u kojima je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neophodno da se komunikacija odvija s pomoću digitalnih programa i uređaja. Prepoznaje obilježja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podršku učitelja primjenjuje osnovne vještine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razmjenjivanja poruka s pomoću tehnologije. Primjenjuje pravila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ponašanja iz stvarnoga svijeta u virtualnome svijetu.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komunicira s njemu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poznatim osobama koristeći se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digitalnom tehnologijom. Uspoređuje komunikaciju i ponašanje u svakodnevnome životu s komunikacijom i ponašanjem na internetu. Nudi suradnju i pomoć ostalim učenicima.</w:t>
            </w:r>
          </w:p>
        </w:tc>
      </w:tr>
      <w:tr>
        <w:trPr>
          <w:trHeight w:val="113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A.1.2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nabraja razne oblike digitalnih sadržaja.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prepoznaje digitalne oblike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sadržaja. Nabraja nekoliko uređaja kojima ih može stvarati ili snimiti.</w:t>
            </w:r>
          </w:p>
        </w:tc>
        <w:tc>
          <w:tcPr>
            <w:tcW w:w="2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Opisuje barem jedan uređaj s pomoću kojeg može stvoriti (snimiti) digitalni sadržaj i postupak stvaranja (ili snimanja).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Razlikuje različite digitalne oblike sadržaja i opisuje uređaje i postupke za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njihovo stvaranje ili snimanje.</w:t>
            </w:r>
          </w:p>
        </w:tc>
      </w:tr>
      <w:tr>
        <w:trPr>
          <w:trHeight w:val="112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razlikuje oblike digitalnih sadržaja, uređaje i postupke za njihovo stvaranje.</w:t>
            </w:r>
          </w:p>
        </w:tc>
        <w:tc>
          <w:tcPr>
            <w:tcW w:w="32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29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27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</w:tr>
      <w:tr>
        <w:trPr>
          <w:trHeight w:val="113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C.1.2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prepoznaje uređaje za stvaranje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digitalnih sadržaja. Uz pomoć učitelja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izrađuje jednostavni digitalni sadržaj.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opisuje ulogu i primjenu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uređaja kojima se koristio za stvaranje digitalnih sadržaja.</w:t>
            </w:r>
          </w:p>
        </w:tc>
        <w:tc>
          <w:tcPr>
            <w:tcW w:w="2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povremene savjete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učitelja izrađuje jednostavne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povremene savjete učitelja izrađuje jednostavne digitalne sadržaje 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predstavlja svoj rad.</w:t>
            </w:r>
          </w:p>
        </w:tc>
      </w:tr>
      <w:tr>
        <w:trPr>
          <w:trHeight w:val="112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29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27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>
          <w:trHeight w:val="25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Prepoznaje program za crtanje.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stvara jednostavni crtež u odabranom programu za crtanje.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Prepoznaje uređaje kojima može izraditi fotografiju. Uz pomoć učitelja izrađuje fotografiju.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objašnjava razliku između razgovora telefonom i videosastanka.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Pronalazi i pokreće program za crtanje.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Koristi jednostavni skup alata da bi izradio jednostavni crtež.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izrađuje fotografiju.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Imenuje uređaj pomoću kojeg je izradio fotografiju.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Prepoznaje program za videosastanke.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pokreće program za crtanje.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Izrađuje jednostavan digitalni crtež korištenjem većeg broja različitih alata.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Opisuje jedan ili više uređaja pomoću kojih je moguće stvoriti fotografiju.  Svojim riječima opisuje postupak stvaranja fotografija na odabranom uređaju.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koristi program za videosastanke s poznatim osobama.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Izrađuje jednostavni digitalni crtež korištenjem većeg broja različitih alata, predstavlja svoj rad. Analizira ga i predlaže moguća poboljšanja.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Opisuje više uređaja pomoću kojih je moguće stvoriti različite digitalne sadržaje (fotografije, videozapise). Opisuje način stvaranja digitalnih sadržaja na tim uređajima.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podršku učitelja samostalno pokreće program za videosastanke i inicira videosastanak s poznatim osobama.</w:t>
            </w:r>
          </w:p>
        </w:tc>
      </w:tr>
    </w:tbl>
    <w:p>
      <w:pPr>
        <w:pStyle w:val="Normal"/>
        <w:spacing w:before="0" w:after="200"/>
        <w:rPr>
          <w:rFonts w:ascii="Calibri" w:hAnsi="Calibri" w:eastAsia="Nunito" w:cs="Calibri" w:asciiTheme="majorHAnsi" w:cstheme="majorHAnsi" w:hAnsiTheme="majorHAnsi"/>
        </w:rPr>
      </w:pPr>
      <w:r>
        <w:rPr/>
      </w:r>
    </w:p>
    <w:sectPr>
      <w:headerReference w:type="default" r:id="rId4"/>
      <w:type w:val="nextPage"/>
      <w:pgSz w:w="16838" w:h="11906"/>
      <w:pgMar w:left="1133" w:right="850" w:header="708" w:top="850" w:footer="0" w:bottom="49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rebuchet M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>
        <w:rFonts w:ascii="Liberation Serif" w:hAnsi="Liberation Serif"/>
        <w:sz w:val="28"/>
      </w:rPr>
    </w:pPr>
    <w:r>
      <w:rPr>
        <w:rFonts w:ascii="Trebuchet MS" w:hAnsi="Trebuchet MS"/>
        <w:sz w:val="28"/>
      </w:rPr>
      <w:t xml:space="preserve">Kriteriji vrednovanja iz Informatike za </w:t>
    </w:r>
    <w:r>
      <w:rPr>
        <w:rFonts w:ascii="Trebuchet MS" w:hAnsi="Trebuchet MS"/>
        <w:sz w:val="28"/>
      </w:rPr>
      <w:t>1</w:t>
    </w:r>
    <w:r>
      <w:rPr>
        <w:rFonts w:ascii="Trebuchet MS" w:hAnsi="Trebuchet MS"/>
        <w:sz w:val="28"/>
      </w:rPr>
      <w:t>. razred             školska godina: 2022/23                        OŠ Meterize, Šibenik</w:t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hr-HR" w:eastAsia="hr-HR" w:bidi="ar-SA"/>
    </w:rPr>
  </w:style>
  <w:style w:type="paragraph" w:styleId="Stilnaslova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Stilnaslova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Stilnaslova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Stilnaslova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Stilnaslova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Stilnaslova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0231ad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0231ad"/>
    <w:rPr/>
  </w:style>
  <w:style w:type="character" w:styleId="Internetskapoveznica">
    <w:name w:val="Internetska poveznica"/>
    <w:basedOn w:val="DefaultParagraphFont"/>
    <w:uiPriority w:val="99"/>
    <w:unhideWhenUsed/>
    <w:rsid w:val="00210d72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231ad"/>
    <w:pPr>
      <w:spacing w:before="0" w:after="20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ableParagraph">
    <w:name w:val="Table Paragraph"/>
    <w:basedOn w:val="Normal"/>
    <w:qFormat/>
    <w:pPr>
      <w:ind w:left="10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cjene.skole.hr/" TargetMode="External"/><Relationship Id="rId3" Type="http://schemas.openxmlformats.org/officeDocument/2006/relationships/hyperlink" Target="https://ocjene.skole.hr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D75CB-BEF0-437D-9254-9DD3A4C90B4A}"/>
</file>

<file path=customXml/itemProps2.xml><?xml version="1.0" encoding="utf-8"?>
<ds:datastoreItem xmlns:ds="http://schemas.openxmlformats.org/officeDocument/2006/customXml" ds:itemID="{8BB915BC-AD2F-47E4-9037-FE99AF65DB95}"/>
</file>

<file path=customXml/itemProps3.xml><?xml version="1.0" encoding="utf-8"?>
<ds:datastoreItem xmlns:ds="http://schemas.openxmlformats.org/officeDocument/2006/customXml" ds:itemID="{65D183FD-D92D-42C2-B3B0-3FF28ED6F3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716254-361D-4DA0-BBDE-A5AC3D4308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Application>LibreOffice/7.0.1.2$Windows_X86_64 LibreOffice_project/7cbcfc562f6eb6708b5ff7d7397325de9e764452</Application>
  <Pages>10</Pages>
  <Words>3124</Words>
  <Characters>20514</Characters>
  <CharactersWithSpaces>23218</CharactersWithSpaces>
  <Paragraphs>465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2022-09-04T21:00:50Z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0x01010084B98B314817E348A650FA67381F080D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