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17D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17D88" w:rsidRDefault="00F34A5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17D88" w:rsidRDefault="00F34A56">
            <w:pPr>
              <w:spacing w:after="0" w:line="240" w:lineRule="auto"/>
            </w:pPr>
            <w:r>
              <w:t>47828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17D88" w:rsidRDefault="00F34A5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17D88" w:rsidRDefault="00F34A56">
            <w:pPr>
              <w:spacing w:after="0" w:line="240" w:lineRule="auto"/>
            </w:pPr>
            <w:r>
              <w:t>O.Š. METERIZE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17D88" w:rsidRDefault="00F34A5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17D88" w:rsidRDefault="00F34A56">
            <w:pPr>
              <w:spacing w:after="0" w:line="240" w:lineRule="auto"/>
            </w:pPr>
            <w:r>
              <w:t>31</w:t>
            </w:r>
          </w:p>
        </w:tc>
      </w:tr>
    </w:tbl>
    <w:p w:rsidR="00317D88" w:rsidRDefault="00F34A56">
      <w:r>
        <w:br/>
      </w:r>
    </w:p>
    <w:p w:rsidR="00317D88" w:rsidRDefault="00F34A5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17D88" w:rsidRDefault="00F34A5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17D88" w:rsidRDefault="00F34A5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1.764.440,93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1.801.316,30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1.572.187,03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1.766.700,52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112,4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317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192.253,90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34.615,78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18,0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262.644,78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9,4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317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262.644,78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24.645,38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9,4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317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317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9.970,40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 xml:space="preserve">Ukupni </w:t>
      </w:r>
      <w:proofErr w:type="spellStart"/>
      <w:r>
        <w:t>prihosi</w:t>
      </w:r>
      <w:proofErr w:type="spellEnd"/>
      <w:r>
        <w:t xml:space="preserve"> poslovanja kroz ovo izvještajno razdoblje iznosu 1.801.316,30 eura i uvećani su za 2,1%.</w:t>
      </w:r>
    </w:p>
    <w:p w:rsidR="00317D88" w:rsidRDefault="00F34A56">
      <w:r>
        <w:t>6361 - Tekuće pomoći proračunskim korisnicima se odnose najviše na plaće za zaposlenike, a tu su još prihodi iz državnog proračuna za školsku knjižnicu,</w:t>
      </w:r>
      <w:r>
        <w:t xml:space="preserve"> pomoći za državnu prehranu, pomoći za voditelje ŽSV, pomoći za nabavu materijala za </w:t>
      </w:r>
      <w:proofErr w:type="spellStart"/>
      <w:r>
        <w:t>psihodijagnostiku</w:t>
      </w:r>
      <w:proofErr w:type="spellEnd"/>
      <w:r>
        <w:t xml:space="preserve"> i pomoći za </w:t>
      </w:r>
      <w:r>
        <w:lastRenderedPageBreak/>
        <w:t xml:space="preserve">nabavu menstrualnih </w:t>
      </w:r>
      <w:proofErr w:type="spellStart"/>
      <w:r>
        <w:t>potrebština</w:t>
      </w:r>
      <w:proofErr w:type="spellEnd"/>
      <w:r>
        <w:t xml:space="preserve"> za učenice. Do povećanja ovih prihoda od 9 % je došlo zbog povećanja plaća za zaposlenike.  </w:t>
      </w:r>
    </w:p>
    <w:p w:rsidR="00317D88" w:rsidRDefault="00F34A56">
      <w:r>
        <w:t>6362 – Kapitalne</w:t>
      </w:r>
      <w:r>
        <w:t xml:space="preserve"> pomoći proračunskim korisnicima  se  odnose na besplatne  udžbenike za sve  učenike, ali  nismo dobili uplatu do 31.12.2025.godine, već ćemo imati uplatu u 2026. godini.</w:t>
      </w:r>
    </w:p>
    <w:p w:rsidR="00317D88" w:rsidRDefault="00F34A56">
      <w:r>
        <w:t xml:space="preserve">6391  - Tekući prijenosi između proračunskih korisnika istog proračuna se odnosi  na </w:t>
      </w:r>
      <w:r>
        <w:t>projekt Školska shema za iznos PDV-a i projekt Pomoćnika u nastavi, za dio koji se financira iz državnog proračuna. Do uvećanja je došlo zbog većeg broja pomoćnika u nastavi. </w:t>
      </w:r>
    </w:p>
    <w:p w:rsidR="00317D88" w:rsidRDefault="00F34A56">
      <w:r>
        <w:t>6393 - Tekući prijenosi između proračunskih korisnika se odnose na plaće za pomo</w:t>
      </w:r>
      <w:r>
        <w:t>ćnike u nastavi i za Školsku shemu voća i mlijeka. Prihodi si veći u odnosu na prošlu godinu opet zbog veće broja pomoćnika u nastavi.</w:t>
      </w:r>
    </w:p>
    <w:p w:rsidR="00317D88" w:rsidRDefault="00F34A56">
      <w:r>
        <w:t>6394  -  Kapitalnih prijenosa između proračunskih korisnika u ovoj godini nismo imali   a ovaj prihod u  prošloj godini s</w:t>
      </w:r>
      <w:r>
        <w:t xml:space="preserve">e odnosio  na izgradnju </w:t>
      </w:r>
      <w:proofErr w:type="spellStart"/>
      <w:r>
        <w:t>Stem</w:t>
      </w:r>
      <w:proofErr w:type="spellEnd"/>
      <w:r>
        <w:t xml:space="preserve"> vrta.</w:t>
      </w:r>
    </w:p>
    <w:p w:rsidR="00317D88" w:rsidRDefault="00F34A56">
      <w:r>
        <w:t>6526 – ostali nespomenuti rashodi se odnose na prihode od roditelja za produženi boravak i za osiguranje učenika, a do uvećanja je došlo zbog većeg broja učenika u produženom boravku.</w:t>
      </w:r>
    </w:p>
    <w:p w:rsidR="00317D88" w:rsidRDefault="00F34A56">
      <w:r>
        <w:t xml:space="preserve">6615 - Prihodi od pruženih usluga se </w:t>
      </w:r>
      <w:r>
        <w:t>odnose  na najam školske sportske dvorane.</w:t>
      </w:r>
    </w:p>
    <w:p w:rsidR="00317D88" w:rsidRDefault="00F34A56">
      <w:r>
        <w:t>6711 – Prihodi iz nadležnog proračuna Grada Šibenika su prihodi decentraliziranih sredstava, financiranje troškova za plaće za tri učiteljice i jedne kuharice u produženom boravku i dio sredstava  za plaće pomoćni</w:t>
      </w:r>
      <w:r>
        <w:t>cima u nastavi. Ove godine nam je Grad odobrio i popravak vatrodojavnog sustava u školi u iznosu od 19,375,00 eura,  sredstva  za poboljšanje sigurnosnih mjera u školi i sredstva za plaćanje dijela električne energije zbog grijanja i hlađenja školske sport</w:t>
      </w:r>
      <w:r>
        <w:t>ske dvorane.   </w:t>
      </w:r>
    </w:p>
    <w:p w:rsidR="00317D88" w:rsidRDefault="00F34A56">
      <w:r>
        <w:t>Ukupni rashodi  iznose 1.791.345,90 eura i manji su za 2,4 %.  </w:t>
      </w:r>
    </w:p>
    <w:p w:rsidR="00317D88" w:rsidRDefault="00F34A56">
      <w:r>
        <w:t> 31- Rashodi za zaposlene su uvećani za 9%  zbog povećanja  plaća zaposlenicima. Tu su još i plaće za veći broj pomoćnika u nastavi</w:t>
      </w:r>
    </w:p>
    <w:p w:rsidR="00317D88" w:rsidRDefault="00F34A56">
      <w:r>
        <w:t xml:space="preserve"> 32- Materijalni rashodi su uvećani za 16,2 </w:t>
      </w:r>
      <w:r>
        <w:t>%  zbog veće potrošnje energije i povećanja cijena</w:t>
      </w:r>
    </w:p>
    <w:p w:rsidR="00317D88" w:rsidRDefault="00F34A56">
      <w:r>
        <w:t>       uredskog materijala, sredstava za čišćenje, ostalog materijala za tekuće održavanje, uvećanja</w:t>
      </w:r>
    </w:p>
    <w:p w:rsidR="00317D88" w:rsidRDefault="00F34A56">
      <w:r>
        <w:t>       rashoda za usluge tekućeg i investicijsko održavanja.</w:t>
      </w:r>
    </w:p>
    <w:p w:rsidR="00317D88" w:rsidRDefault="00F34A56">
      <w:r>
        <w:t>  37 – Naknade građanima i kućanstvima se o</w:t>
      </w:r>
      <w:r>
        <w:t>dnosi na odobrena sredstva Grada za radne bilježnice svim učenicima u iznosu od 39.294,93 eura.</w:t>
      </w:r>
    </w:p>
    <w:p w:rsidR="00317D88" w:rsidRDefault="00F34A56">
      <w:r>
        <w:t xml:space="preserve"> 4241 -Rashodi za nabavu nefinancijske imovine su manji za 90,6% jer smo prošle godine imali rashod za izgradnju </w:t>
      </w:r>
      <w:proofErr w:type="spellStart"/>
      <w:r>
        <w:t>Stem</w:t>
      </w:r>
      <w:proofErr w:type="spellEnd"/>
      <w:r>
        <w:t xml:space="preserve"> vrta. Ove godine rashodi za nabavu nefinan</w:t>
      </w:r>
      <w:r>
        <w:t>cijske imovine  iznose  24.645,38 eura i financirani su iz sredstava osnivača za knjige u knjižnici, MZO za udžbenike i knjige u knjižnici i vlastitih sredstava za fotokopirni aparat.</w:t>
      </w:r>
    </w:p>
    <w:p w:rsidR="00317D88" w:rsidRDefault="00F34A56">
      <w:r>
        <w:t> Ostvareni višak prihoda  iznosi  9.970,00 eura, a preneseni manjak iz 2</w:t>
      </w:r>
      <w:r>
        <w:t>024. godine iznosi 32.423,15, pa nam je konačni manjak za 2025. godinu  22.452,75 eura.</w:t>
      </w:r>
    </w:p>
    <w:p w:rsidR="00317D88" w:rsidRDefault="00F34A56">
      <w:r>
        <w:t>     </w:t>
      </w:r>
    </w:p>
    <w:p w:rsidR="00317D88" w:rsidRDefault="00F34A56">
      <w:r>
        <w:lastRenderedPageBreak/>
        <w:br/>
      </w:r>
    </w:p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1.259.507,54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1.373.029,27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 xml:space="preserve">Tekuće pomoći proračunskim korisnicima se odnose najviše na plaće za zaposlenike, a tu su još prihodi iz državnog proračuna za školsku knjižnicu, pomoći za državnu prehranu, pomoći za voditelje ŽSV, pomoći za nabavu materijala za </w:t>
      </w:r>
      <w:proofErr w:type="spellStart"/>
      <w:r>
        <w:t>psihodijagnostiku</w:t>
      </w:r>
      <w:proofErr w:type="spellEnd"/>
      <w:r>
        <w:t xml:space="preserve"> i pomoći</w:t>
      </w:r>
      <w:r>
        <w:t xml:space="preserve"> za nabavu menstrualnih </w:t>
      </w:r>
      <w:proofErr w:type="spellStart"/>
      <w:r>
        <w:t>potrebština</w:t>
      </w:r>
      <w:proofErr w:type="spellEnd"/>
      <w:r>
        <w:t xml:space="preserve"> za učenice. Do povećanja ovih prihoda od 9 % je došlo zbog povećanja plaća za zaposlenike.  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22.876,31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Kapitalne pomoći proračunskim korisnicima  se  odnose na besplatne  udžbenike za sve  učenike, ali  nismo dobili uplatu do 31.12.2025.godine, već ćemo imati uplatu u 2026. godini.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13.117,80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227,8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Tekući prijenosi između proračunskih korisnika istog proračuna se odnosi  na projekt Školska shema za iznos PDV-a i projekt Pomoćnika u nastavi, za dio koji se financira iz državnog proračuna. Do uvećanja je došlo zbog većeg broja pomoćnika u nastavi.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između proračunskih korisnika istog proračuna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24.770,79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77.001,22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310,9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lastRenderedPageBreak/>
        <w:t>Tekući prijenosi između proračunskih korisnika se odnose na plaće za pomoćnike u nastavi i za Školsku shemu voća i mlijeka. Prihodi si veći u odnosu na prošlu godinu opet zbog veće broja pomoćnika u nastavi.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Kapitalni prijenosi između proračunskih korisnika istog proračuna temeljem prijenosa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234.692,78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 xml:space="preserve">Kapitalnih prijenosa između proračunskih korisnika u ovoj godini nismo imali   a ovaj prihod u  prošloj godini se odnosio  na izgradnju </w:t>
      </w:r>
      <w:proofErr w:type="spellStart"/>
      <w:r>
        <w:t>Stem</w:t>
      </w:r>
      <w:proofErr w:type="spellEnd"/>
      <w:r>
        <w:t xml:space="preserve"> vrta.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34.018,48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45.473,80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Ostali nespomenuti rashodi se odnose na prihode od roditelja za produženi boravak i za osiguranje učenika, a do uvećanja je došlo zbog većeg broja učenika u produženom boravku.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</w:t>
            </w:r>
            <w:r>
              <w:rPr>
                <w:b/>
                <w:sz w:val="18"/>
              </w:rPr>
              <w:t>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3.267,90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6.055,29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185,3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Prihodi od pruženih usluga su veće u odnosu na lani jer ima veći broj korisnika školske sportske dvorane.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177.995,55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286.288,92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160,8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 xml:space="preserve">Prihodi iz nadležnog proračuna Grada Šibenika su prihodi decentraliziranih sredstava, financiranje troškova za plaće za tri učiteljice i jedne kuharice u produženom boravku i dio </w:t>
      </w:r>
      <w:r>
        <w:lastRenderedPageBreak/>
        <w:t>sredstava  za plaće pomoćnicima u nastavi. Ove godine nam je Grad odobrio i p</w:t>
      </w:r>
      <w:r>
        <w:t>opravak vatrodojavnog sustava u školi u iznosu od 19,375,00 eura,  sredstva  za poboljšanje sigurnosnih mjera u školi i sredstva za plaćanje dijela električne energije zbog grijanja i hlađenja školske sportske dvorane.          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1.360.914,42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1.482.744,70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Rashodi za zaposlene su uvećani zbog povećanja plaće zaposlenicima i većem broju pomoćnika u nastavi.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209.741,30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243.773,94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116,2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Materijalni rashodi su uvećani za 16,2 %  zbog veće potrošnje energije i povećanja cijena uredskog materijala, sredstava za čišćenje, ostalog materijala za tekuće održavanje, uvećanja rashoda za usluge tekućeg i investicijsko održavanja.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39.294,93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Naknade građanima i kućanstvima se odnosi na odobrena sredstva Grada za radne bilježnice svim učenicima u iznosu od 39.294,93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24.463,00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22.170,63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90,6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lastRenderedPageBreak/>
        <w:t xml:space="preserve">Rashodi za nabavu nefinancijske imovine su manji za 90,6% jer smo prošle godine imali rashod za izgradnju </w:t>
      </w:r>
      <w:proofErr w:type="spellStart"/>
      <w:r>
        <w:t>Stem</w:t>
      </w:r>
      <w:proofErr w:type="spellEnd"/>
      <w:r>
        <w:t xml:space="preserve"> vrta. Ove godine rashodi za nabavu nefinancijske imovine  iznose  24.645,38 eura i financirani su iz sredstava osnivača za knjige u knjižnici, MZ</w:t>
      </w:r>
      <w:r>
        <w:t>O za udžbenike i knjige u knjižnici i  vlastitih sredstava za fotokopirni aparat.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2.174,32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3.786,76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174,2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Ostala potraživanja se odnose na nerefundirana bolovanja na teret HZZO koje iznosi 3.786,76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</w:t>
            </w:r>
            <w:r>
              <w:rPr>
                <w:sz w:val="18"/>
              </w:rPr>
              <w:t xml:space="preserve">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88.396,04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235.066,62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265,9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 xml:space="preserve">Od 1.1.2025. godine koristimo konto 1636100 i 9636100 na kojima knjižimo sva potraživanja za pomoći proračunskim korisnicima od MZO i državnog proračuna, te zbog toga </w:t>
      </w:r>
      <w:proofErr w:type="spellStart"/>
      <w:r>
        <w:t>imamao</w:t>
      </w:r>
      <w:proofErr w:type="spellEnd"/>
      <w:r>
        <w:t xml:space="preserve"> ovoliko veliko povećanje u odnosu na prošlo izvještajno razdoblje.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 xml:space="preserve">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131.683,94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 Od 1.1.2025. godine koristimo konto 1636100 i 9636100 na kojima knjižimo sva potraživanja za pomoći proračunskim korisnicima od MZO i državnog proračuna  i uplate istih. Saldo tog konta je 131.683,94 eura i odnosi se na plaću za 12/2025. i neplaćene udžbe</w:t>
      </w:r>
      <w:r>
        <w:t>nike za školsku godinu 2025/26.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3.466,39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4.577,29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132,0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Potraživanja za prehranu u produženom boravku koje iznosi 4.577,29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proizvoda i robe te pruženih </w:t>
            </w:r>
            <w:r>
              <w:rPr>
                <w:sz w:val="18"/>
              </w:rPr>
              <w:t>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1.644,53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3.888,03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236,4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Potraživanja za najam školske sportske dvorane koje iznosi 3.888,03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117.882,59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121.156,87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102,8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Ukupne obveze za rashode poslovanja na kraju izvještajnog razdoblja iznose  121.156,87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(šifre 231 do 234 + 235 + 236 + 237 do 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117.882,59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119.395,59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101,3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Obveze za rashode poslovanja iznose 119.395,59 eura.  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1.761,28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Potraživanja od HZZO za bolovanje preko 42 dana, koje iznosi 1.761,28 eura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5.110,83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140.149,26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2742,2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 Od 1.1.2025. godine koristimo konto 1636100 i 9636100 na kojima knjižimo sve uplate za pomoći proračunskim korisnicima od MZO i državnog proračuna.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F34A56">
      <w:r>
        <w:t> 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i osnovno obrazovanje (šifre 0911+0912)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1.764.368,22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1.713.658,02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97,1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Ukupni rashodi poslovanja i rashodi za nabavu nefinancijske imovine su iskazani na 0912 - Osnovno obrazovanje u iznosu od 1.713.658,02 eura. 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70.463,59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77.687,88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</w:tbl>
    <w:p w:rsidR="00317D88" w:rsidRDefault="00317D88">
      <w:pPr>
        <w:spacing w:after="0"/>
      </w:pPr>
    </w:p>
    <w:p w:rsidR="00317D88" w:rsidRDefault="00F34A56">
      <w:proofErr w:type="spellStart"/>
      <w:r>
        <w:t>RashodI</w:t>
      </w:r>
      <w:proofErr w:type="spellEnd"/>
      <w:r>
        <w:t xml:space="preserve"> za dodatne usluge u obrazovanju (096) koji se odnose na troškove učeničkih marendi  iznose 77.687,88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317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29.738,50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Promjena u vrijednosti  i obujma imovine 91512 se odnosi na ulaganje osnivača Grada Šibenika u iznosu od 29.738,50 eura.</w:t>
      </w:r>
    </w:p>
    <w:p w:rsidR="00317D88" w:rsidRDefault="00317D88"/>
    <w:p w:rsidR="00317D88" w:rsidRDefault="00F34A5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317D88" w:rsidRDefault="00F34A5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17D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17D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317D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3.016,75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17D88" w:rsidRDefault="00F34A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17D88" w:rsidRDefault="00317D88">
      <w:pPr>
        <w:spacing w:after="0"/>
      </w:pPr>
    </w:p>
    <w:p w:rsidR="00317D88" w:rsidRDefault="00F34A56">
      <w:r>
        <w:t>Stanje obveza  V001 od 1.1.2025. su  podmirene u izvještajnom razdoblju  (V004)       </w:t>
      </w:r>
    </w:p>
    <w:p w:rsidR="00317D88" w:rsidRDefault="00F34A56">
      <w:r>
        <w:lastRenderedPageBreak/>
        <w:t>Ukupne obveze  V006   iznose  121.156,87 eura, dospjele su  V007 u iznosu od 3.016,75 eura, a</w:t>
      </w:r>
    </w:p>
    <w:p w:rsidR="00317D88" w:rsidRDefault="00F34A56">
      <w:r>
        <w:t>nedospjele obveze  V009  su  118.140,12 eura i odnose se na plaću za 12/2025.,  dio nedospjelih računa i međusobne obveze proračunskih korisnika koje se odnosi na</w:t>
      </w:r>
      <w:r>
        <w:t xml:space="preserve"> nerefundirano bolovanje</w:t>
      </w:r>
    </w:p>
    <w:p w:rsidR="00317D88" w:rsidRDefault="00F34A56">
      <w:r>
        <w:t>na teret  HZZO – 1.761,28 – (V010)</w:t>
      </w:r>
    </w:p>
    <w:p w:rsidR="00317D88" w:rsidRDefault="00317D88"/>
    <w:sectPr w:rsidR="00317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88"/>
    <w:rsid w:val="00317D88"/>
    <w:rsid w:val="00F3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1F38C-7991-4010-9E1E-AB043EC6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2026-02-05T06:43:00Z</dcterms:created>
  <dcterms:modified xsi:type="dcterms:W3CDTF">2026-02-05T06:43:00Z</dcterms:modified>
</cp:coreProperties>
</file>